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6F753B" w:rsidRDefault="00B73B84" w:rsidP="00FD7321">
      <w:pPr>
        <w:pStyle w:val="Kopfzeile"/>
        <w:tabs>
          <w:tab w:val="clear" w:pos="4536"/>
          <w:tab w:val="clear" w:pos="9072"/>
          <w:tab w:val="left" w:pos="9498"/>
        </w:tabs>
        <w:spacing w:line="276" w:lineRule="auto"/>
        <w:ind w:right="707"/>
        <w:rPr>
          <w:rFonts w:ascii="Trebuchet MS" w:hAnsi="Trebuchet MS" w:cs="Calibri"/>
          <w:sz w:val="22"/>
          <w:szCs w:val="22"/>
        </w:rPr>
      </w:pPr>
      <w:r w:rsidRPr="006F753B">
        <w:rPr>
          <w:rFonts w:ascii="Trebuchet MS" w:hAnsi="Trebuchet MS" w:cs="Calibri"/>
          <w:sz w:val="22"/>
          <w:szCs w:val="22"/>
        </w:rPr>
        <w:t xml:space="preserve">Neuerscheinung bei </w:t>
      </w:r>
    </w:p>
    <w:p w:rsidR="00F47D72" w:rsidRPr="006F753B" w:rsidRDefault="00B73B84" w:rsidP="00FD7321">
      <w:pPr>
        <w:pStyle w:val="Kopfzeile"/>
        <w:tabs>
          <w:tab w:val="clear" w:pos="4536"/>
          <w:tab w:val="clear" w:pos="9072"/>
          <w:tab w:val="left" w:pos="7797"/>
          <w:tab w:val="left" w:pos="9498"/>
        </w:tabs>
        <w:spacing w:line="276" w:lineRule="auto"/>
        <w:ind w:right="707"/>
        <w:rPr>
          <w:rFonts w:ascii="Trebuchet MS" w:hAnsi="Trebuchet MS" w:cs="Calibri"/>
          <w:b/>
          <w:bCs/>
          <w:sz w:val="22"/>
          <w:szCs w:val="22"/>
        </w:rPr>
      </w:pPr>
      <w:r w:rsidRPr="006F753B">
        <w:rPr>
          <w:rFonts w:ascii="Trebuchet MS" w:hAnsi="Trebuchet MS" w:cs="Calibri"/>
          <w:b/>
          <w:bCs/>
          <w:sz w:val="22"/>
          <w:szCs w:val="22"/>
        </w:rPr>
        <w:t>C.F. Müller</w:t>
      </w:r>
      <w:r w:rsidR="00F47D72" w:rsidRPr="006F753B">
        <w:rPr>
          <w:rFonts w:ascii="Trebuchet MS" w:hAnsi="Trebuchet MS" w:cs="Calibri"/>
          <w:b/>
          <w:bCs/>
          <w:sz w:val="22"/>
          <w:szCs w:val="22"/>
        </w:rPr>
        <w:t xml:space="preserve"> </w:t>
      </w:r>
      <w:r w:rsidR="00FD7321" w:rsidRPr="006F753B">
        <w:rPr>
          <w:rFonts w:ascii="Trebuchet MS" w:hAnsi="Trebuchet MS" w:cs="Calibri"/>
          <w:b/>
          <w:bCs/>
          <w:sz w:val="22"/>
          <w:szCs w:val="22"/>
        </w:rPr>
        <w:tab/>
      </w:r>
      <w:r w:rsidR="004A71D1" w:rsidRPr="006F753B">
        <w:rPr>
          <w:rFonts w:ascii="Trebuchet MS" w:hAnsi="Trebuchet MS" w:cs="Calibri"/>
          <w:bCs/>
          <w:sz w:val="22"/>
          <w:szCs w:val="22"/>
        </w:rPr>
        <w:t>Heidelberg,</w:t>
      </w:r>
    </w:p>
    <w:p w:rsidR="00B73B84" w:rsidRPr="006F753B" w:rsidRDefault="00B73B84" w:rsidP="00FD7321">
      <w:pPr>
        <w:pStyle w:val="Kopfzeile"/>
        <w:tabs>
          <w:tab w:val="clear" w:pos="4536"/>
          <w:tab w:val="clear" w:pos="9072"/>
          <w:tab w:val="left" w:pos="7200"/>
          <w:tab w:val="left" w:pos="9498"/>
        </w:tabs>
        <w:spacing w:line="276" w:lineRule="auto"/>
        <w:ind w:right="707"/>
        <w:rPr>
          <w:rFonts w:ascii="Trebuchet MS" w:hAnsi="Trebuchet MS" w:cs="Calibri"/>
          <w:sz w:val="22"/>
          <w:szCs w:val="22"/>
        </w:rPr>
      </w:pPr>
      <w:r w:rsidRPr="006F753B">
        <w:rPr>
          <w:rFonts w:ascii="Trebuchet MS" w:hAnsi="Trebuchet MS" w:cs="Calibri"/>
          <w:sz w:val="22"/>
          <w:szCs w:val="22"/>
        </w:rPr>
        <w:tab/>
        <w:t xml:space="preserve">im </w:t>
      </w:r>
      <w:r w:rsidR="000C089A">
        <w:rPr>
          <w:rFonts w:ascii="Trebuchet MS" w:hAnsi="Trebuchet MS" w:cs="Calibri"/>
          <w:sz w:val="22"/>
          <w:szCs w:val="22"/>
        </w:rPr>
        <w:t>Okto</w:t>
      </w:r>
      <w:r w:rsidR="00FD7321" w:rsidRPr="006F753B">
        <w:rPr>
          <w:rFonts w:ascii="Trebuchet MS" w:hAnsi="Trebuchet MS" w:cs="Calibri"/>
          <w:sz w:val="22"/>
          <w:szCs w:val="22"/>
        </w:rPr>
        <w:t>ber</w:t>
      </w:r>
      <w:r w:rsidR="008A40A2" w:rsidRPr="006F753B">
        <w:rPr>
          <w:rFonts w:ascii="Trebuchet MS" w:hAnsi="Trebuchet MS" w:cs="Calibri"/>
          <w:sz w:val="22"/>
          <w:szCs w:val="22"/>
        </w:rPr>
        <w:t xml:space="preserve"> 202</w:t>
      </w:r>
      <w:r w:rsidR="00931AD3" w:rsidRPr="006F753B">
        <w:rPr>
          <w:rFonts w:ascii="Trebuchet MS" w:hAnsi="Trebuchet MS" w:cs="Calibri"/>
          <w:sz w:val="22"/>
          <w:szCs w:val="22"/>
        </w:rPr>
        <w:t>2</w:t>
      </w:r>
    </w:p>
    <w:p w:rsidR="008C3AEA" w:rsidRPr="006F753B" w:rsidRDefault="008C3AEA" w:rsidP="00FD7321">
      <w:pPr>
        <w:pStyle w:val="Kopfzeile"/>
        <w:tabs>
          <w:tab w:val="clear" w:pos="4536"/>
          <w:tab w:val="clear" w:pos="9072"/>
          <w:tab w:val="left" w:pos="7200"/>
          <w:tab w:val="left" w:pos="9498"/>
        </w:tabs>
        <w:ind w:right="707"/>
        <w:jc w:val="both"/>
        <w:rPr>
          <w:rFonts w:ascii="Trebuchet MS" w:hAnsi="Trebuchet MS"/>
          <w:b/>
          <w:sz w:val="26"/>
          <w:szCs w:val="26"/>
        </w:rPr>
      </w:pPr>
    </w:p>
    <w:p w:rsidR="00CF0F8E" w:rsidRPr="006F753B" w:rsidRDefault="00CF0F8E" w:rsidP="00FD7321">
      <w:pPr>
        <w:pStyle w:val="Kopfzeile"/>
        <w:tabs>
          <w:tab w:val="clear" w:pos="4536"/>
          <w:tab w:val="clear" w:pos="9072"/>
          <w:tab w:val="left" w:pos="7200"/>
          <w:tab w:val="left" w:pos="9498"/>
        </w:tabs>
        <w:ind w:right="707"/>
        <w:jc w:val="both"/>
        <w:rPr>
          <w:rFonts w:ascii="Trebuchet MS" w:hAnsi="Trebuchet MS"/>
          <w:b/>
          <w:sz w:val="26"/>
          <w:szCs w:val="26"/>
        </w:rPr>
      </w:pPr>
    </w:p>
    <w:p w:rsidR="008C3AEA" w:rsidRPr="006F753B" w:rsidRDefault="00FD7321" w:rsidP="00FD7321">
      <w:pPr>
        <w:pStyle w:val="Kopfzeile"/>
        <w:tabs>
          <w:tab w:val="clear" w:pos="4536"/>
          <w:tab w:val="clear" w:pos="9072"/>
          <w:tab w:val="left" w:pos="7200"/>
          <w:tab w:val="left" w:pos="9498"/>
        </w:tabs>
        <w:ind w:right="707"/>
        <w:jc w:val="both"/>
        <w:rPr>
          <w:rFonts w:ascii="Trebuchet MS" w:hAnsi="Trebuchet MS"/>
          <w:b/>
          <w:sz w:val="26"/>
          <w:szCs w:val="26"/>
        </w:rPr>
      </w:pPr>
      <w:r w:rsidRPr="006F753B">
        <w:rPr>
          <w:rFonts w:ascii="Trebuchet MS" w:hAnsi="Trebuchet MS"/>
          <w:b/>
          <w:sz w:val="26"/>
          <w:szCs w:val="26"/>
        </w:rPr>
        <w:t>Schmidt/</w:t>
      </w:r>
      <w:proofErr w:type="spellStart"/>
      <w:r w:rsidRPr="006F753B">
        <w:rPr>
          <w:rFonts w:ascii="Trebuchet MS" w:hAnsi="Trebuchet MS"/>
          <w:b/>
          <w:sz w:val="26"/>
          <w:szCs w:val="26"/>
        </w:rPr>
        <w:t>Wischemeyer</w:t>
      </w:r>
      <w:proofErr w:type="spellEnd"/>
      <w:r w:rsidR="008C3AEA" w:rsidRPr="006F753B">
        <w:rPr>
          <w:rFonts w:ascii="Trebuchet MS" w:hAnsi="Trebuchet MS"/>
          <w:b/>
          <w:sz w:val="26"/>
          <w:szCs w:val="26"/>
        </w:rPr>
        <w:t>/</w:t>
      </w:r>
      <w:r w:rsidRPr="006F753B">
        <w:rPr>
          <w:rFonts w:ascii="Trebuchet MS" w:hAnsi="Trebuchet MS"/>
          <w:b/>
          <w:sz w:val="26"/>
          <w:szCs w:val="26"/>
        </w:rPr>
        <w:t>Wolgast</w:t>
      </w:r>
      <w:r w:rsidR="008C3AEA" w:rsidRPr="006F753B">
        <w:rPr>
          <w:rFonts w:ascii="Trebuchet MS" w:hAnsi="Trebuchet MS"/>
          <w:b/>
          <w:sz w:val="26"/>
          <w:szCs w:val="26"/>
        </w:rPr>
        <w:t xml:space="preserve"> -</w:t>
      </w:r>
    </w:p>
    <w:p w:rsidR="008C3AEA" w:rsidRPr="006F753B" w:rsidRDefault="00FD7321" w:rsidP="00FD7321">
      <w:pPr>
        <w:pStyle w:val="Textkrper0"/>
        <w:tabs>
          <w:tab w:val="clear" w:pos="7144"/>
          <w:tab w:val="left" w:pos="9498"/>
        </w:tabs>
        <w:ind w:right="707"/>
        <w:rPr>
          <w:rFonts w:ascii="Trebuchet MS" w:hAnsi="Trebuchet MS"/>
          <w:b/>
          <w:sz w:val="26"/>
          <w:szCs w:val="26"/>
        </w:rPr>
      </w:pPr>
      <w:r w:rsidRPr="006F753B">
        <w:rPr>
          <w:rFonts w:ascii="Trebuchet MS" w:hAnsi="Trebuchet MS"/>
          <w:b/>
          <w:sz w:val="26"/>
          <w:szCs w:val="26"/>
        </w:rPr>
        <w:t xml:space="preserve">Insolvenzrechtliche Vergütungsverordnung </w:t>
      </w:r>
      <w:proofErr w:type="spellStart"/>
      <w:r w:rsidRPr="006F753B">
        <w:rPr>
          <w:rFonts w:ascii="Trebuchet MS" w:hAnsi="Trebuchet MS"/>
          <w:b/>
          <w:sz w:val="26"/>
          <w:szCs w:val="26"/>
        </w:rPr>
        <w:t>InsVV</w:t>
      </w:r>
      <w:proofErr w:type="spellEnd"/>
    </w:p>
    <w:p w:rsidR="008C3AEA" w:rsidRPr="006F753B" w:rsidRDefault="008C3AEA" w:rsidP="00FD7321">
      <w:pPr>
        <w:pStyle w:val="Textkrper0"/>
        <w:tabs>
          <w:tab w:val="clear" w:pos="7144"/>
          <w:tab w:val="left" w:pos="9498"/>
        </w:tabs>
        <w:ind w:right="707"/>
        <w:rPr>
          <w:rFonts w:ascii="Trebuchet MS" w:hAnsi="Trebuchet MS"/>
          <w:b/>
          <w:sz w:val="26"/>
          <w:szCs w:val="26"/>
        </w:rPr>
      </w:pPr>
      <w:r w:rsidRPr="006F753B">
        <w:rPr>
          <w:rFonts w:ascii="Trebuchet MS" w:hAnsi="Trebuchet MS"/>
          <w:b/>
          <w:sz w:val="26"/>
          <w:szCs w:val="26"/>
        </w:rPr>
        <w:t xml:space="preserve">Heidelberger Kommentar </w:t>
      </w:r>
    </w:p>
    <w:p w:rsidR="00497A71" w:rsidRPr="006F753B" w:rsidRDefault="00497A71" w:rsidP="00FD7321">
      <w:pPr>
        <w:pStyle w:val="StandardWeb"/>
        <w:tabs>
          <w:tab w:val="left" w:pos="9498"/>
        </w:tabs>
        <w:spacing w:before="0" w:beforeAutospacing="0" w:after="0" w:afterAutospacing="0"/>
        <w:ind w:right="707"/>
        <w:rPr>
          <w:rFonts w:ascii="Trebuchet MS" w:hAnsi="Trebuchet MS"/>
          <w:sz w:val="22"/>
          <w:szCs w:val="22"/>
        </w:rPr>
      </w:pPr>
    </w:p>
    <w:p w:rsidR="00FD7321" w:rsidRPr="006F753B" w:rsidRDefault="00FD7321" w:rsidP="00FD7321">
      <w:pPr>
        <w:pStyle w:val="StandardWeb"/>
        <w:tabs>
          <w:tab w:val="left" w:pos="9498"/>
        </w:tabs>
        <w:spacing w:before="0" w:beforeAutospacing="0" w:after="0" w:afterAutospacing="0"/>
        <w:ind w:right="707"/>
        <w:rPr>
          <w:rFonts w:ascii="Trebuchet MS" w:hAnsi="Trebuchet MS"/>
          <w:sz w:val="22"/>
          <w:szCs w:val="22"/>
        </w:rPr>
      </w:pPr>
      <w:r w:rsidRPr="006F753B">
        <w:rPr>
          <w:rFonts w:ascii="Trebuchet MS" w:hAnsi="Trebuchet MS"/>
          <w:sz w:val="22"/>
          <w:szCs w:val="22"/>
        </w:rPr>
        <w:t>Wie wird eine angemessene Vergütung angesetzt? Wie stelle bzw. überprüfe ich einen Vergütungsantrag?</w:t>
      </w:r>
    </w:p>
    <w:p w:rsidR="00FD7321" w:rsidRPr="006F753B" w:rsidRDefault="00FD7321" w:rsidP="00FD7321">
      <w:pPr>
        <w:pStyle w:val="StandardWeb"/>
        <w:tabs>
          <w:tab w:val="left" w:pos="9498"/>
        </w:tabs>
        <w:spacing w:before="0" w:beforeAutospacing="0" w:after="0" w:afterAutospacing="0"/>
        <w:ind w:right="707"/>
        <w:rPr>
          <w:rFonts w:ascii="Trebuchet MS" w:hAnsi="Trebuchet MS"/>
          <w:sz w:val="22"/>
          <w:szCs w:val="22"/>
        </w:rPr>
      </w:pPr>
    </w:p>
    <w:p w:rsidR="00FD7321" w:rsidRPr="006F753B" w:rsidRDefault="00FD7321" w:rsidP="00FD7321">
      <w:pPr>
        <w:pStyle w:val="StandardWeb"/>
        <w:tabs>
          <w:tab w:val="left" w:pos="9498"/>
        </w:tabs>
        <w:spacing w:before="0" w:beforeAutospacing="0" w:after="0" w:afterAutospacing="0"/>
        <w:ind w:right="707"/>
        <w:rPr>
          <w:rFonts w:ascii="Trebuchet MS" w:hAnsi="Trebuchet MS"/>
          <w:sz w:val="22"/>
          <w:szCs w:val="22"/>
        </w:rPr>
      </w:pPr>
      <w:r w:rsidRPr="006F753B">
        <w:rPr>
          <w:rFonts w:ascii="Trebuchet MS" w:hAnsi="Trebuchet MS"/>
          <w:sz w:val="22"/>
          <w:szCs w:val="22"/>
        </w:rPr>
        <w:t xml:space="preserve">Der Kommentar erläutert die </w:t>
      </w:r>
      <w:proofErr w:type="spellStart"/>
      <w:r w:rsidRPr="006F753B">
        <w:rPr>
          <w:rFonts w:ascii="Trebuchet MS" w:hAnsi="Trebuchet MS"/>
          <w:sz w:val="22"/>
          <w:szCs w:val="22"/>
        </w:rPr>
        <w:t>InsVV</w:t>
      </w:r>
      <w:proofErr w:type="spellEnd"/>
      <w:r w:rsidRPr="006F753B">
        <w:rPr>
          <w:rFonts w:ascii="Trebuchet MS" w:hAnsi="Trebuchet MS"/>
          <w:sz w:val="22"/>
          <w:szCs w:val="22"/>
        </w:rPr>
        <w:t xml:space="preserve"> kompakt und zuverlässig. Praktische Leitlinien und Hinweise geben eine Hilfestellung, um die systematischen Schwächen des geltenden Insolvenz-Vergütungsrechts in den Griff zu bekommen und sachgerechte Lösungen angesichts der unterschiedlichen Rahmenbedingungen der einzelnen Insolvenzfälle und Berechnungsgrundlagen zu finden. Checklisten, Best-</w:t>
      </w:r>
      <w:proofErr w:type="spellStart"/>
      <w:r w:rsidRPr="006F753B">
        <w:rPr>
          <w:rFonts w:ascii="Trebuchet MS" w:hAnsi="Trebuchet MS"/>
          <w:sz w:val="22"/>
          <w:szCs w:val="22"/>
        </w:rPr>
        <w:t>Practise</w:t>
      </w:r>
      <w:proofErr w:type="spellEnd"/>
      <w:r w:rsidRPr="006F753B">
        <w:rPr>
          <w:rFonts w:ascii="Trebuchet MS" w:hAnsi="Trebuchet MS"/>
          <w:sz w:val="22"/>
          <w:szCs w:val="22"/>
        </w:rPr>
        <w:t>-Hinweise und Formulierungshilfen runden die Ausführungen ab.</w:t>
      </w:r>
    </w:p>
    <w:p w:rsidR="00FD7321" w:rsidRPr="006F753B" w:rsidRDefault="00FD7321" w:rsidP="00FD7321">
      <w:pPr>
        <w:pStyle w:val="StandardWeb"/>
        <w:tabs>
          <w:tab w:val="left" w:pos="9498"/>
        </w:tabs>
        <w:spacing w:before="0" w:beforeAutospacing="0" w:after="0" w:afterAutospacing="0"/>
        <w:ind w:right="707"/>
        <w:rPr>
          <w:rFonts w:ascii="Trebuchet MS" w:hAnsi="Trebuchet MS"/>
          <w:sz w:val="22"/>
          <w:szCs w:val="22"/>
        </w:rPr>
      </w:pPr>
    </w:p>
    <w:p w:rsidR="006F753B" w:rsidRPr="006F753B" w:rsidRDefault="00FD7321" w:rsidP="00FD7321">
      <w:pPr>
        <w:pStyle w:val="StandardWeb"/>
        <w:tabs>
          <w:tab w:val="left" w:pos="9498"/>
        </w:tabs>
        <w:spacing w:before="0" w:beforeAutospacing="0" w:after="0" w:afterAutospacing="0"/>
        <w:ind w:right="707"/>
        <w:rPr>
          <w:rFonts w:ascii="Trebuchet MS" w:hAnsi="Trebuchet MS"/>
          <w:sz w:val="22"/>
          <w:szCs w:val="22"/>
        </w:rPr>
      </w:pPr>
      <w:r w:rsidRPr="006F753B">
        <w:rPr>
          <w:rFonts w:ascii="Trebuchet MS" w:hAnsi="Trebuchet MS"/>
          <w:sz w:val="22"/>
          <w:szCs w:val="22"/>
        </w:rPr>
        <w:t xml:space="preserve">Verarbeitet sind die Regelungen des Konzerninsolvenzrechts und auch die Neuerungen durch das </w:t>
      </w:r>
      <w:proofErr w:type="spellStart"/>
      <w:r w:rsidRPr="006F753B">
        <w:rPr>
          <w:rFonts w:ascii="Trebuchet MS" w:hAnsi="Trebuchet MS"/>
          <w:sz w:val="22"/>
          <w:szCs w:val="22"/>
        </w:rPr>
        <w:t>SanInsFoG</w:t>
      </w:r>
      <w:proofErr w:type="spellEnd"/>
      <w:r w:rsidRPr="006F753B">
        <w:rPr>
          <w:rFonts w:ascii="Trebuchet MS" w:hAnsi="Trebuchet MS"/>
          <w:sz w:val="22"/>
          <w:szCs w:val="22"/>
        </w:rPr>
        <w:t>. Die höchstrichterliche Rechtsprechung ist auf einige wenige, als „Leitentscheidungen" taugliche Judikate begrenzt, und diese sind in ihrer Tragweite erläutert.</w:t>
      </w:r>
      <w:r w:rsidR="006F753B" w:rsidRPr="006F753B">
        <w:rPr>
          <w:rFonts w:ascii="Trebuchet MS" w:hAnsi="Trebuchet MS"/>
          <w:sz w:val="22"/>
          <w:szCs w:val="22"/>
        </w:rPr>
        <w:t xml:space="preserve"> </w:t>
      </w:r>
    </w:p>
    <w:p w:rsidR="006F753B" w:rsidRPr="006F753B" w:rsidRDefault="006F753B" w:rsidP="00FD7321">
      <w:pPr>
        <w:pStyle w:val="StandardWeb"/>
        <w:tabs>
          <w:tab w:val="left" w:pos="9498"/>
        </w:tabs>
        <w:spacing w:before="0" w:beforeAutospacing="0" w:after="0" w:afterAutospacing="0"/>
        <w:ind w:right="707"/>
        <w:rPr>
          <w:rFonts w:ascii="Trebuchet MS" w:hAnsi="Trebuchet MS"/>
          <w:sz w:val="22"/>
          <w:szCs w:val="22"/>
        </w:rPr>
      </w:pPr>
    </w:p>
    <w:p w:rsidR="00FD7321" w:rsidRPr="006F753B" w:rsidRDefault="006F753B" w:rsidP="00FD7321">
      <w:pPr>
        <w:pStyle w:val="StandardWeb"/>
        <w:tabs>
          <w:tab w:val="left" w:pos="9498"/>
        </w:tabs>
        <w:spacing w:before="0" w:beforeAutospacing="0" w:after="0" w:afterAutospacing="0"/>
        <w:ind w:right="707"/>
        <w:rPr>
          <w:rFonts w:ascii="Trebuchet MS" w:hAnsi="Trebuchet MS"/>
          <w:sz w:val="22"/>
          <w:szCs w:val="22"/>
        </w:rPr>
      </w:pPr>
      <w:r w:rsidRPr="006F753B">
        <w:rPr>
          <w:rFonts w:ascii="Trebuchet MS" w:hAnsi="Trebuchet MS"/>
          <w:sz w:val="22"/>
          <w:szCs w:val="22"/>
        </w:rPr>
        <w:t>Der neue Kommentar berücksichtigt Rechtsprechung und Literatur bis Mai 2022. Seine Zielsetzung ist es, allen an der Festsetzung der Vergütung Beteiligten, also insbesondere den Insolvenzverwaltern und Rechtspflegern, aber auch den Gläubigern und deren Vertretern, eine Hilfestellung für die wertungssichere Einordnung von Vergütungsanträgen und –</w:t>
      </w:r>
      <w:proofErr w:type="spellStart"/>
      <w:r w:rsidRPr="006F753B">
        <w:rPr>
          <w:rFonts w:ascii="Trebuchet MS" w:hAnsi="Trebuchet MS"/>
          <w:sz w:val="22"/>
          <w:szCs w:val="22"/>
        </w:rPr>
        <w:t>beschlüssen</w:t>
      </w:r>
      <w:proofErr w:type="spellEnd"/>
      <w:r w:rsidRPr="006F753B">
        <w:rPr>
          <w:rFonts w:ascii="Trebuchet MS" w:hAnsi="Trebuchet MS"/>
          <w:sz w:val="22"/>
          <w:szCs w:val="22"/>
        </w:rPr>
        <w:t xml:space="preserve"> zu geben sowie Antworten zur Festsetzung der Vergütung in der insolvenzrechtlichen Praxis zu liefern. </w:t>
      </w:r>
      <w:r>
        <w:rPr>
          <w:rFonts w:ascii="Trebuchet MS" w:hAnsi="Trebuchet MS"/>
          <w:sz w:val="22"/>
          <w:szCs w:val="22"/>
        </w:rPr>
        <w:t xml:space="preserve">Das Autorenteam dieses neuen Kommentars besteht aus langjährigen und erfahrenen Praktikern. </w:t>
      </w:r>
    </w:p>
    <w:p w:rsidR="008C3AEA" w:rsidRPr="006F753B" w:rsidRDefault="008C3AEA" w:rsidP="00FD7321">
      <w:pPr>
        <w:pStyle w:val="Textkrper0"/>
        <w:tabs>
          <w:tab w:val="clear" w:pos="7144"/>
          <w:tab w:val="left" w:pos="9498"/>
        </w:tabs>
        <w:spacing w:line="276" w:lineRule="auto"/>
        <w:ind w:right="707"/>
        <w:rPr>
          <w:rFonts w:ascii="Trebuchet MS" w:hAnsi="Trebuchet MS"/>
          <w:b/>
          <w:sz w:val="28"/>
          <w:szCs w:val="28"/>
        </w:rPr>
      </w:pPr>
    </w:p>
    <w:p w:rsidR="00ED601D" w:rsidRDefault="00FD7321" w:rsidP="00FD7321">
      <w:pPr>
        <w:pStyle w:val="Textkrper0"/>
        <w:tabs>
          <w:tab w:val="clear" w:pos="7144"/>
          <w:tab w:val="left" w:pos="9498"/>
        </w:tabs>
        <w:spacing w:line="276" w:lineRule="auto"/>
        <w:ind w:right="707"/>
        <w:rPr>
          <w:rFonts w:ascii="Trebuchet MS" w:hAnsi="Trebuchet MS"/>
          <w:iCs/>
          <w:szCs w:val="22"/>
        </w:rPr>
      </w:pPr>
      <w:r w:rsidRPr="006F753B">
        <w:rPr>
          <w:rFonts w:ascii="Trebuchet MS" w:hAnsi="Trebuchet MS"/>
          <w:b/>
          <w:szCs w:val="22"/>
        </w:rPr>
        <w:t xml:space="preserve">Insolvenzrechtliche Vergütungsverordnung </w:t>
      </w:r>
      <w:proofErr w:type="spellStart"/>
      <w:r w:rsidRPr="006F753B">
        <w:rPr>
          <w:rFonts w:ascii="Trebuchet MS" w:hAnsi="Trebuchet MS"/>
          <w:b/>
          <w:szCs w:val="22"/>
        </w:rPr>
        <w:t>InsVV</w:t>
      </w:r>
      <w:proofErr w:type="spellEnd"/>
      <w:r w:rsidR="008C3AEA" w:rsidRPr="006F753B">
        <w:rPr>
          <w:rFonts w:ascii="Trebuchet MS" w:hAnsi="Trebuchet MS"/>
          <w:szCs w:val="22"/>
        </w:rPr>
        <w:t xml:space="preserve">. </w:t>
      </w:r>
      <w:r w:rsidRPr="006F753B">
        <w:rPr>
          <w:rFonts w:ascii="Trebuchet MS" w:hAnsi="Trebuchet MS"/>
          <w:szCs w:val="22"/>
        </w:rPr>
        <w:t>V</w:t>
      </w:r>
      <w:r w:rsidR="008C3AEA" w:rsidRPr="006F753B">
        <w:rPr>
          <w:rFonts w:ascii="Trebuchet MS" w:hAnsi="Trebuchet MS"/>
          <w:szCs w:val="22"/>
        </w:rPr>
        <w:t xml:space="preserve">on </w:t>
      </w:r>
      <w:r w:rsidRPr="006F753B">
        <w:rPr>
          <w:rFonts w:ascii="Trebuchet MS" w:hAnsi="Trebuchet MS"/>
          <w:szCs w:val="22"/>
        </w:rPr>
        <w:t xml:space="preserve">Dr. Andreas Schmidt, Insolvenz- und Restrukturierungsrichter, Dr. Markus </w:t>
      </w:r>
      <w:proofErr w:type="spellStart"/>
      <w:r w:rsidRPr="006F753B">
        <w:rPr>
          <w:rFonts w:ascii="Trebuchet MS" w:hAnsi="Trebuchet MS"/>
          <w:szCs w:val="22"/>
        </w:rPr>
        <w:t>Wischemeyer</w:t>
      </w:r>
      <w:proofErr w:type="spellEnd"/>
      <w:r w:rsidRPr="006F753B">
        <w:rPr>
          <w:rFonts w:ascii="Trebuchet MS" w:hAnsi="Trebuchet MS"/>
          <w:szCs w:val="22"/>
        </w:rPr>
        <w:t>, Rechtsanwalt und Fachanwalt für Insolvenzrecht, und Dr. Matthias Wolgast, LL.M., Rechtsanwalt</w:t>
      </w:r>
      <w:r w:rsidR="008C3AEA" w:rsidRPr="006F753B">
        <w:rPr>
          <w:rFonts w:ascii="Trebuchet MS" w:hAnsi="Trebuchet MS"/>
          <w:szCs w:val="22"/>
        </w:rPr>
        <w:t>.</w:t>
      </w:r>
      <w:r w:rsidR="008C3AEA" w:rsidRPr="006F753B">
        <w:rPr>
          <w:rFonts w:ascii="Trebuchet MS" w:hAnsi="Trebuchet MS"/>
          <w:iCs/>
          <w:szCs w:val="22"/>
        </w:rPr>
        <w:t xml:space="preserve"> 20</w:t>
      </w:r>
      <w:r w:rsidR="00771A68" w:rsidRPr="006F753B">
        <w:rPr>
          <w:rFonts w:ascii="Trebuchet MS" w:hAnsi="Trebuchet MS"/>
          <w:iCs/>
          <w:szCs w:val="22"/>
        </w:rPr>
        <w:t>22</w:t>
      </w:r>
      <w:r w:rsidR="008C3AEA" w:rsidRPr="006F753B">
        <w:rPr>
          <w:rFonts w:ascii="Trebuchet MS" w:hAnsi="Trebuchet MS"/>
          <w:iCs/>
          <w:szCs w:val="22"/>
        </w:rPr>
        <w:t xml:space="preserve"> </w:t>
      </w:r>
    </w:p>
    <w:p w:rsidR="008C3AEA" w:rsidRPr="006F753B" w:rsidRDefault="00771A68" w:rsidP="00FD7321">
      <w:pPr>
        <w:pStyle w:val="Textkrper0"/>
        <w:tabs>
          <w:tab w:val="clear" w:pos="7144"/>
          <w:tab w:val="left" w:pos="9498"/>
        </w:tabs>
        <w:spacing w:line="276" w:lineRule="auto"/>
        <w:ind w:right="707"/>
        <w:rPr>
          <w:rFonts w:ascii="Trebuchet MS" w:hAnsi="Trebuchet MS"/>
          <w:bCs/>
          <w:szCs w:val="22"/>
        </w:rPr>
      </w:pPr>
      <w:r w:rsidRPr="006F753B">
        <w:rPr>
          <w:rFonts w:ascii="Trebuchet MS" w:hAnsi="Trebuchet MS"/>
          <w:szCs w:val="22"/>
        </w:rPr>
        <w:t>XX</w:t>
      </w:r>
      <w:r w:rsidR="00FD7321" w:rsidRPr="006F753B">
        <w:rPr>
          <w:rFonts w:ascii="Trebuchet MS" w:hAnsi="Trebuchet MS"/>
          <w:szCs w:val="22"/>
        </w:rPr>
        <w:t>II</w:t>
      </w:r>
      <w:r w:rsidR="008C3AEA" w:rsidRPr="006F753B">
        <w:rPr>
          <w:rFonts w:ascii="Trebuchet MS" w:hAnsi="Trebuchet MS"/>
          <w:szCs w:val="22"/>
        </w:rPr>
        <w:t xml:space="preserve">, </w:t>
      </w:r>
      <w:r w:rsidR="00FD7321" w:rsidRPr="006F753B">
        <w:rPr>
          <w:rFonts w:ascii="Trebuchet MS" w:hAnsi="Trebuchet MS"/>
          <w:szCs w:val="22"/>
        </w:rPr>
        <w:t>312</w:t>
      </w:r>
      <w:r w:rsidR="008C3AEA" w:rsidRPr="006F753B">
        <w:rPr>
          <w:rFonts w:ascii="Trebuchet MS" w:hAnsi="Trebuchet MS"/>
          <w:szCs w:val="22"/>
        </w:rPr>
        <w:t xml:space="preserve"> Seiten. Gebunden. € </w:t>
      </w:r>
      <w:r w:rsidR="00FD7321" w:rsidRPr="006F753B">
        <w:rPr>
          <w:rFonts w:ascii="Trebuchet MS" w:hAnsi="Trebuchet MS"/>
          <w:szCs w:val="22"/>
        </w:rPr>
        <w:t>7</w:t>
      </w:r>
      <w:r w:rsidR="008C3AEA" w:rsidRPr="006F753B">
        <w:rPr>
          <w:rFonts w:ascii="Trebuchet MS" w:hAnsi="Trebuchet MS"/>
          <w:szCs w:val="22"/>
        </w:rPr>
        <w:t>9,00   ISBN 978-3-8114-</w:t>
      </w:r>
      <w:r w:rsidR="00FD7321" w:rsidRPr="006F753B">
        <w:rPr>
          <w:rFonts w:ascii="Trebuchet MS" w:hAnsi="Trebuchet MS"/>
          <w:szCs w:val="22"/>
        </w:rPr>
        <w:t>8741</w:t>
      </w:r>
      <w:r w:rsidR="008C3AEA" w:rsidRPr="006F753B">
        <w:rPr>
          <w:rFonts w:ascii="Trebuchet MS" w:hAnsi="Trebuchet MS"/>
          <w:szCs w:val="22"/>
        </w:rPr>
        <w:t>-</w:t>
      </w:r>
      <w:r w:rsidR="00FD7321" w:rsidRPr="006F753B">
        <w:rPr>
          <w:rFonts w:ascii="Trebuchet MS" w:hAnsi="Trebuchet MS"/>
          <w:szCs w:val="22"/>
        </w:rPr>
        <w:t>3</w:t>
      </w:r>
      <w:r w:rsidR="008C3AEA" w:rsidRPr="006F753B">
        <w:rPr>
          <w:rFonts w:ascii="Trebuchet MS" w:hAnsi="Trebuchet MS"/>
          <w:szCs w:val="22"/>
        </w:rPr>
        <w:t xml:space="preserve">   (Heidelberger Kommentar)</w:t>
      </w:r>
    </w:p>
    <w:p w:rsidR="008C3AEA" w:rsidRPr="006F753B" w:rsidRDefault="008C3AEA" w:rsidP="00FD7321">
      <w:pPr>
        <w:tabs>
          <w:tab w:val="left" w:pos="7144"/>
          <w:tab w:val="left" w:pos="9498"/>
        </w:tabs>
        <w:spacing w:line="276" w:lineRule="auto"/>
        <w:ind w:right="707"/>
        <w:rPr>
          <w:rFonts w:ascii="Trebuchet MS" w:hAnsi="Trebuchet MS"/>
          <w:sz w:val="22"/>
          <w:szCs w:val="22"/>
        </w:rPr>
      </w:pPr>
    </w:p>
    <w:p w:rsidR="008C3AEA" w:rsidRPr="006F753B" w:rsidRDefault="008C3AEA" w:rsidP="00FD7321">
      <w:pPr>
        <w:tabs>
          <w:tab w:val="left" w:pos="7144"/>
          <w:tab w:val="left" w:pos="8931"/>
          <w:tab w:val="left" w:pos="9498"/>
        </w:tabs>
        <w:spacing w:line="276" w:lineRule="auto"/>
        <w:ind w:right="707"/>
        <w:rPr>
          <w:rFonts w:ascii="Trebuchet MS" w:hAnsi="Trebuchet MS"/>
          <w:sz w:val="22"/>
          <w:szCs w:val="22"/>
        </w:rPr>
      </w:pPr>
      <w:r w:rsidRPr="006F753B">
        <w:rPr>
          <w:rFonts w:ascii="Trebuchet MS" w:hAnsi="Trebuchet MS"/>
          <w:i/>
          <w:sz w:val="22"/>
          <w:szCs w:val="22"/>
        </w:rPr>
        <w:t xml:space="preserve">Auch als </w:t>
      </w:r>
      <w:proofErr w:type="spellStart"/>
      <w:r w:rsidRPr="006F753B">
        <w:rPr>
          <w:rFonts w:ascii="Trebuchet MS" w:hAnsi="Trebuchet MS"/>
          <w:i/>
          <w:sz w:val="22"/>
          <w:szCs w:val="22"/>
        </w:rPr>
        <w:t>e-book</w:t>
      </w:r>
      <w:proofErr w:type="spellEnd"/>
      <w:r w:rsidR="00237EDE">
        <w:rPr>
          <w:rFonts w:ascii="Trebuchet MS" w:hAnsi="Trebuchet MS"/>
          <w:sz w:val="22"/>
          <w:szCs w:val="22"/>
        </w:rPr>
        <w:t>: €</w:t>
      </w:r>
      <w:r w:rsidR="008B0712">
        <w:rPr>
          <w:rFonts w:ascii="Trebuchet MS" w:hAnsi="Trebuchet MS"/>
          <w:sz w:val="22"/>
          <w:szCs w:val="22"/>
        </w:rPr>
        <w:t xml:space="preserve"> </w:t>
      </w:r>
      <w:bookmarkStart w:id="0" w:name="_GoBack"/>
      <w:bookmarkEnd w:id="0"/>
      <w:r w:rsidR="00237EDE">
        <w:rPr>
          <w:rFonts w:ascii="Trebuchet MS" w:hAnsi="Trebuchet MS"/>
          <w:sz w:val="22"/>
          <w:szCs w:val="22"/>
        </w:rPr>
        <w:t>7</w:t>
      </w:r>
      <w:r w:rsidRPr="006F753B">
        <w:rPr>
          <w:rFonts w:ascii="Trebuchet MS" w:hAnsi="Trebuchet MS"/>
          <w:sz w:val="22"/>
          <w:szCs w:val="22"/>
        </w:rPr>
        <w:t xml:space="preserve">8,99. ISBN </w:t>
      </w:r>
      <w:r w:rsidR="00FD7321" w:rsidRPr="006F753B">
        <w:rPr>
          <w:rFonts w:ascii="Trebuchet MS" w:hAnsi="Trebuchet MS"/>
          <w:sz w:val="22"/>
          <w:szCs w:val="22"/>
        </w:rPr>
        <w:t>978-3-8114-8753</w:t>
      </w:r>
      <w:r w:rsidR="00771A68" w:rsidRPr="006F753B">
        <w:rPr>
          <w:rFonts w:ascii="Trebuchet MS" w:hAnsi="Trebuchet MS"/>
          <w:sz w:val="22"/>
          <w:szCs w:val="22"/>
        </w:rPr>
        <w:t>-</w:t>
      </w:r>
      <w:r w:rsidR="00FD7321" w:rsidRPr="006F753B">
        <w:rPr>
          <w:rFonts w:ascii="Trebuchet MS" w:hAnsi="Trebuchet MS"/>
          <w:sz w:val="22"/>
          <w:szCs w:val="22"/>
        </w:rPr>
        <w:t>6</w:t>
      </w:r>
    </w:p>
    <w:p w:rsidR="008C3AEA" w:rsidRPr="006F753B" w:rsidRDefault="008C3AEA" w:rsidP="00FD7321">
      <w:pPr>
        <w:tabs>
          <w:tab w:val="left" w:pos="7938"/>
          <w:tab w:val="left" w:pos="8931"/>
          <w:tab w:val="left" w:pos="9498"/>
        </w:tabs>
        <w:spacing w:line="276" w:lineRule="auto"/>
        <w:ind w:right="707"/>
        <w:rPr>
          <w:rFonts w:ascii="Trebuchet MS" w:hAnsi="Trebuchet MS"/>
          <w:b/>
          <w:sz w:val="22"/>
          <w:szCs w:val="22"/>
        </w:rPr>
      </w:pPr>
    </w:p>
    <w:p w:rsidR="005F0CC3" w:rsidRPr="006F753B" w:rsidRDefault="008C3AEA" w:rsidP="00FD7321">
      <w:pPr>
        <w:tabs>
          <w:tab w:val="left" w:pos="7938"/>
          <w:tab w:val="left" w:pos="8931"/>
          <w:tab w:val="left" w:pos="9498"/>
        </w:tabs>
        <w:spacing w:line="276" w:lineRule="auto"/>
        <w:ind w:right="707"/>
        <w:rPr>
          <w:rFonts w:ascii="Trebuchet MS" w:hAnsi="Trebuchet MS"/>
          <w:b/>
          <w:bCs/>
          <w:sz w:val="22"/>
          <w:szCs w:val="22"/>
        </w:rPr>
      </w:pPr>
      <w:r w:rsidRPr="006F753B">
        <w:rPr>
          <w:rFonts w:ascii="Trebuchet MS" w:hAnsi="Trebuchet MS"/>
          <w:b/>
          <w:sz w:val="22"/>
          <w:szCs w:val="22"/>
        </w:rPr>
        <w:t xml:space="preserve">C.F. Müller GmbH                          </w:t>
      </w:r>
      <w:hyperlink r:id="rId7" w:history="1">
        <w:r w:rsidRPr="006F753B">
          <w:rPr>
            <w:rStyle w:val="Hyperlink"/>
            <w:rFonts w:ascii="Trebuchet MS" w:hAnsi="Trebuchet MS"/>
            <w:b/>
            <w:bCs/>
            <w:sz w:val="22"/>
            <w:szCs w:val="22"/>
          </w:rPr>
          <w:t>www.cfmueller.de</w:t>
        </w:r>
      </w:hyperlink>
      <w:r w:rsidR="006F753B" w:rsidRPr="006F753B">
        <w:rPr>
          <w:rFonts w:ascii="Trebuchet MS" w:hAnsi="Trebuchet MS"/>
          <w:b/>
          <w:bCs/>
          <w:sz w:val="22"/>
          <w:szCs w:val="22"/>
        </w:rPr>
        <w:t xml:space="preserve"> </w:t>
      </w:r>
      <w:r w:rsidR="003734F1">
        <w:rPr>
          <w:rFonts w:ascii="Trebuchet MS" w:hAnsi="Trebuchet MS"/>
          <w:b/>
          <w:bCs/>
          <w:sz w:val="22"/>
          <w:szCs w:val="22"/>
        </w:rPr>
        <w:t xml:space="preserve">                                               … 2</w:t>
      </w:r>
    </w:p>
    <w:p w:rsidR="003734F1" w:rsidRDefault="003734F1">
      <w:pPr>
        <w:rPr>
          <w:rFonts w:ascii="Trebuchet MS" w:hAnsi="Trebuchet MS"/>
          <w:szCs w:val="22"/>
        </w:rPr>
      </w:pPr>
      <w:r>
        <w:rPr>
          <w:rFonts w:ascii="Trebuchet MS" w:hAnsi="Trebuchet MS"/>
          <w:szCs w:val="22"/>
        </w:rPr>
        <w:br w:type="page"/>
      </w:r>
    </w:p>
    <w:p w:rsidR="003734F1" w:rsidRDefault="003734F1" w:rsidP="006F753B">
      <w:pPr>
        <w:tabs>
          <w:tab w:val="left" w:pos="7938"/>
          <w:tab w:val="left" w:pos="8931"/>
          <w:tab w:val="left" w:pos="9498"/>
        </w:tabs>
        <w:spacing w:line="276" w:lineRule="auto"/>
        <w:ind w:right="707"/>
        <w:rPr>
          <w:rFonts w:ascii="Trebuchet MS" w:hAnsi="Trebuchet MS"/>
          <w:b/>
          <w:sz w:val="26"/>
          <w:szCs w:val="26"/>
        </w:rPr>
      </w:pPr>
    </w:p>
    <w:p w:rsidR="005F0CC3" w:rsidRPr="003734F1" w:rsidRDefault="003734F1" w:rsidP="006F753B">
      <w:pPr>
        <w:tabs>
          <w:tab w:val="left" w:pos="7938"/>
          <w:tab w:val="left" w:pos="8931"/>
          <w:tab w:val="left" w:pos="9498"/>
        </w:tabs>
        <w:spacing w:line="276" w:lineRule="auto"/>
        <w:ind w:right="707"/>
        <w:rPr>
          <w:rFonts w:ascii="Trebuchet MS" w:hAnsi="Trebuchet MS"/>
          <w:b/>
          <w:sz w:val="26"/>
          <w:szCs w:val="26"/>
        </w:rPr>
      </w:pPr>
      <w:r w:rsidRPr="003734F1">
        <w:rPr>
          <w:rFonts w:ascii="Trebuchet MS" w:hAnsi="Trebuchet MS"/>
          <w:b/>
          <w:sz w:val="26"/>
          <w:szCs w:val="26"/>
        </w:rPr>
        <w:t>Inhaltsübersicht</w:t>
      </w:r>
    </w:p>
    <w:p w:rsidR="003734F1" w:rsidRDefault="003734F1" w:rsidP="006F753B">
      <w:pPr>
        <w:tabs>
          <w:tab w:val="left" w:pos="7938"/>
          <w:tab w:val="left" w:pos="8931"/>
          <w:tab w:val="left" w:pos="9498"/>
        </w:tabs>
        <w:spacing w:line="276" w:lineRule="auto"/>
        <w:ind w:right="707"/>
        <w:rPr>
          <w:rFonts w:ascii="Trebuchet MS" w:hAnsi="Trebuchet MS"/>
          <w:szCs w:val="22"/>
        </w:rPr>
      </w:pPr>
    </w:p>
    <w:p w:rsid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Vergütung des Insolvenzverwalters</w:t>
      </w:r>
      <w:r>
        <w:rPr>
          <w:rFonts w:ascii="Trebuchet MS" w:hAnsi="Trebuchet MS"/>
        </w:rPr>
        <w:br/>
      </w:r>
    </w:p>
    <w:p w:rsid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 xml:space="preserve">Vergütung des vorläufigen Insolvenzverwalters, des Sachwalters </w:t>
      </w:r>
      <w:r>
        <w:rPr>
          <w:rFonts w:ascii="Trebuchet MS" w:hAnsi="Trebuchet MS"/>
        </w:rPr>
        <w:br/>
        <w:t>und des Insolvenzverwalters im Verbraucherinsolvenzverfahren</w:t>
      </w:r>
      <w:r>
        <w:rPr>
          <w:rFonts w:ascii="Trebuchet MS" w:hAnsi="Trebuchet MS"/>
        </w:rPr>
        <w:br/>
      </w:r>
    </w:p>
    <w:p w:rsid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Vergütung des Treuhänders nach § 293 der Insolvenzordnung</w:t>
      </w:r>
      <w:r>
        <w:rPr>
          <w:rFonts w:ascii="Trebuchet MS" w:hAnsi="Trebuchet MS"/>
        </w:rPr>
        <w:br/>
      </w:r>
    </w:p>
    <w:p w:rsid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Vergütung der Mitglieder des Gläubigerausschusses</w:t>
      </w:r>
      <w:r>
        <w:rPr>
          <w:rFonts w:ascii="Trebuchet MS" w:hAnsi="Trebuchet MS"/>
        </w:rPr>
        <w:br/>
      </w:r>
    </w:p>
    <w:p w:rsid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Übergangs- und Schlussvorschriften</w:t>
      </w:r>
      <w:r>
        <w:rPr>
          <w:rFonts w:ascii="Trebuchet MS" w:hAnsi="Trebuchet MS"/>
        </w:rPr>
        <w:br/>
      </w:r>
    </w:p>
    <w:p w:rsidR="003734F1" w:rsidRPr="003734F1" w:rsidRDefault="003734F1" w:rsidP="003734F1">
      <w:pPr>
        <w:pStyle w:val="Listenabsatz"/>
        <w:numPr>
          <w:ilvl w:val="0"/>
          <w:numId w:val="30"/>
        </w:numPr>
        <w:tabs>
          <w:tab w:val="left" w:pos="7938"/>
          <w:tab w:val="left" w:pos="8931"/>
          <w:tab w:val="left" w:pos="9498"/>
        </w:tabs>
        <w:ind w:left="426" w:right="707" w:hanging="284"/>
        <w:rPr>
          <w:rFonts w:ascii="Trebuchet MS" w:hAnsi="Trebuchet MS"/>
        </w:rPr>
      </w:pPr>
      <w:r>
        <w:rPr>
          <w:rFonts w:ascii="Trebuchet MS" w:hAnsi="Trebuchet MS"/>
        </w:rPr>
        <w:t>Vergütung des Verfahrenskoordinators und Vergütung des Gruppenkoordinators</w:t>
      </w:r>
    </w:p>
    <w:sectPr w:rsidR="003734F1" w:rsidRPr="003734F1"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6D" w:rsidRDefault="004F306D">
      <w:r>
        <w:separator/>
      </w:r>
    </w:p>
  </w:endnote>
  <w:endnote w:type="continuationSeparator" w:id="0">
    <w:p w:rsidR="004F306D" w:rsidRDefault="004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292681"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26280"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6759AF" w:rsidRPr="004B0F0A" w:rsidRDefault="006759AF" w:rsidP="00D2246F">
    <w:pPr>
      <w:pStyle w:val="berschrift2"/>
      <w:tabs>
        <w:tab w:val="left" w:pos="540"/>
      </w:tabs>
      <w:ind w:right="-470"/>
      <w:rPr>
        <w:rFonts w:ascii="Lucida Sans Unicode" w:hAnsi="Lucida Sans Unicode" w:cs="Lucida Sans Unicode"/>
        <w:b w:val="0"/>
        <w:color w:val="000000"/>
        <w:sz w:val="14"/>
      </w:rPr>
    </w:pPr>
  </w:p>
  <w:p w:rsidR="006759AF" w:rsidRDefault="006759AF"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3648FF">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3648FF">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6759AF" w:rsidRDefault="006759AF" w:rsidP="00D2246F">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 xml:space="preserve">@cfmueller.de · </w:t>
    </w:r>
    <w:proofErr w:type="spellStart"/>
    <w:r>
      <w:rPr>
        <w:rFonts w:ascii="Lucida Sans Unicode" w:hAnsi="Lucida Sans Unicode" w:cs="Lucida Sans Unicode"/>
        <w:b w:val="0"/>
        <w:bCs w:val="0"/>
        <w:sz w:val="14"/>
      </w:rPr>
      <w:t>Waldhofer</w:t>
    </w:r>
    <w:proofErr w:type="spellEnd"/>
    <w:r>
      <w:rPr>
        <w:rFonts w:ascii="Lucida Sans Unicode" w:hAnsi="Lucida Sans Unicode" w:cs="Lucida Sans Unicode"/>
        <w:b w:val="0"/>
        <w:bCs w:val="0"/>
        <w:sz w:val="14"/>
      </w:rPr>
      <w:t xml:space="preserve"> Straße 100 · 69123 Heidelberg · www.cfmueller.de</w:t>
    </w:r>
  </w:p>
  <w:p w:rsidR="006759AF" w:rsidRDefault="006759AF" w:rsidP="00D224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6D" w:rsidRDefault="004F306D">
      <w:r>
        <w:separator/>
      </w:r>
    </w:p>
  </w:footnote>
  <w:footnote w:type="continuationSeparator" w:id="0">
    <w:p w:rsidR="004F306D" w:rsidRDefault="004F3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292681">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292681">
                          <w:r w:rsidRPr="009837B5">
                            <w:rPr>
                              <w:noProof/>
                            </w:rPr>
                            <w:drawing>
                              <wp:inline distT="0" distB="0" distL="0" distR="0">
                                <wp:extent cx="1993265" cy="557530"/>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557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6759AF" w:rsidRDefault="00292681">
                    <w:r w:rsidRPr="009837B5">
                      <w:rPr>
                        <w:noProof/>
                      </w:rPr>
                      <w:drawing>
                        <wp:inline distT="0" distB="0" distL="0" distR="0">
                          <wp:extent cx="1993265" cy="557530"/>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265" cy="557530"/>
                                  </a:xfrm>
                                  <a:prstGeom prst="rect">
                                    <a:avLst/>
                                  </a:prstGeom>
                                  <a:noFill/>
                                  <a:ln>
                                    <a:noFill/>
                                  </a:ln>
                                </pic:spPr>
                              </pic:pic>
                            </a:graphicData>
                          </a:graphic>
                        </wp:inline>
                      </w:drawing>
                    </w:r>
                  </w:p>
                </w:txbxContent>
              </v:textbox>
            </v:shape>
          </w:pict>
        </mc:Fallback>
      </mc:AlternateContent>
    </w:r>
  </w:p>
  <w:p w:rsidR="006759AF" w:rsidRDefault="006759AF">
    <w:pPr>
      <w:pStyle w:val="Kopfzeile"/>
      <w:jc w:val="right"/>
    </w:pPr>
  </w:p>
  <w:p w:rsidR="006759AF" w:rsidRDefault="006759AF">
    <w:pPr>
      <w:pStyle w:val="Kopfzeile"/>
      <w:jc w:val="right"/>
    </w:pPr>
  </w:p>
  <w:p w:rsidR="006759AF" w:rsidRDefault="006759AF">
    <w:pPr>
      <w:pStyle w:val="Kopfzeile"/>
    </w:pPr>
  </w:p>
  <w:p w:rsidR="006759AF" w:rsidRDefault="00292681">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6759A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6759AF" w:rsidRDefault="006759AF">
                    <w:pPr>
                      <w:pStyle w:val="Kopfzeile"/>
                      <w:tabs>
                        <w:tab w:val="clear" w:pos="4536"/>
                        <w:tab w:val="clear" w:pos="9072"/>
                      </w:tabs>
                    </w:pPr>
                  </w:p>
                </w:txbxContent>
              </v:textbox>
            </v:shape>
          </w:pict>
        </mc:Fallback>
      </mc:AlternateContent>
    </w:r>
    <w:r w:rsidR="006759AF">
      <w:rPr>
        <w:rFonts w:ascii="Lucida Sans Unicode" w:hAnsi="Lucida Sans Unicode" w:cs="Lucida Sans Unicode"/>
        <w:b/>
        <w:bCs/>
        <w:color w:val="FFFFFF"/>
        <w:sz w:val="16"/>
        <w:lang w:val="fr-FR"/>
      </w:rPr>
      <w:t xml:space="preserve"> </w:t>
    </w:r>
    <w:r w:rsidR="006759AF">
      <w:rPr>
        <w:rFonts w:ascii="Lucida Sans Unicode" w:hAnsi="Lucida Sans Unicode" w:cs="Lucida Sans Unicode"/>
        <w:b/>
        <w:bCs/>
        <w:color w:val="FFFFFF"/>
        <w:sz w:val="38"/>
        <w:lang w:val="fr-FR"/>
      </w:rPr>
      <w:t>Presse Information</w:t>
    </w:r>
  </w:p>
  <w:p w:rsidR="006759AF" w:rsidRDefault="006759A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C0AF8"/>
    <w:multiLevelType w:val="multilevel"/>
    <w:tmpl w:val="1B3E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A415D"/>
    <w:multiLevelType w:val="hybridMultilevel"/>
    <w:tmpl w:val="AFDC2F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2AB051D6"/>
    <w:multiLevelType w:val="multilevel"/>
    <w:tmpl w:val="74B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F04E53"/>
    <w:multiLevelType w:val="hybridMultilevel"/>
    <w:tmpl w:val="FE628EC4"/>
    <w:lvl w:ilvl="0" w:tplc="A904A846">
      <w:start w:val="3"/>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02251"/>
    <w:multiLevelType w:val="hybridMultilevel"/>
    <w:tmpl w:val="64601A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C0A78"/>
    <w:multiLevelType w:val="multilevel"/>
    <w:tmpl w:val="8F3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F3EEE"/>
    <w:multiLevelType w:val="hybridMultilevel"/>
    <w:tmpl w:val="EF88B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8"/>
  </w:num>
  <w:num w:numId="4">
    <w:abstractNumId w:val="12"/>
  </w:num>
  <w:num w:numId="5">
    <w:abstractNumId w:val="1"/>
  </w:num>
  <w:num w:numId="6">
    <w:abstractNumId w:val="20"/>
  </w:num>
  <w:num w:numId="7">
    <w:abstractNumId w:val="5"/>
  </w:num>
  <w:num w:numId="8">
    <w:abstractNumId w:val="18"/>
  </w:num>
  <w:num w:numId="9">
    <w:abstractNumId w:val="0"/>
  </w:num>
  <w:num w:numId="10">
    <w:abstractNumId w:val="6"/>
  </w:num>
  <w:num w:numId="11">
    <w:abstractNumId w:val="29"/>
  </w:num>
  <w:num w:numId="12">
    <w:abstractNumId w:val="24"/>
  </w:num>
  <w:num w:numId="13">
    <w:abstractNumId w:val="8"/>
  </w:num>
  <w:num w:numId="14">
    <w:abstractNumId w:val="13"/>
  </w:num>
  <w:num w:numId="15">
    <w:abstractNumId w:val="22"/>
  </w:num>
  <w:num w:numId="16">
    <w:abstractNumId w:val="16"/>
  </w:num>
  <w:num w:numId="17">
    <w:abstractNumId w:val="26"/>
  </w:num>
  <w:num w:numId="18">
    <w:abstractNumId w:val="17"/>
  </w:num>
  <w:num w:numId="19">
    <w:abstractNumId w:val="15"/>
  </w:num>
  <w:num w:numId="20">
    <w:abstractNumId w:val="21"/>
  </w:num>
  <w:num w:numId="21">
    <w:abstractNumId w:val="19"/>
  </w:num>
  <w:num w:numId="22">
    <w:abstractNumId w:val="3"/>
  </w:num>
  <w:num w:numId="23">
    <w:abstractNumId w:val="7"/>
  </w:num>
  <w:num w:numId="24">
    <w:abstractNumId w:val="27"/>
  </w:num>
  <w:num w:numId="25">
    <w:abstractNumId w:val="9"/>
  </w:num>
  <w:num w:numId="26">
    <w:abstractNumId w:val="10"/>
  </w:num>
  <w:num w:numId="27">
    <w:abstractNumId w:val="25"/>
  </w:num>
  <w:num w:numId="28">
    <w:abstractNumId w:val="2"/>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2FAA"/>
    <w:rsid w:val="00013192"/>
    <w:rsid w:val="000138DB"/>
    <w:rsid w:val="00013F51"/>
    <w:rsid w:val="00025379"/>
    <w:rsid w:val="000261F5"/>
    <w:rsid w:val="00027E78"/>
    <w:rsid w:val="000302FE"/>
    <w:rsid w:val="000405AE"/>
    <w:rsid w:val="00041136"/>
    <w:rsid w:val="00042577"/>
    <w:rsid w:val="00044CB2"/>
    <w:rsid w:val="0004754D"/>
    <w:rsid w:val="00052490"/>
    <w:rsid w:val="00056A02"/>
    <w:rsid w:val="0006408D"/>
    <w:rsid w:val="00074FE9"/>
    <w:rsid w:val="000758FB"/>
    <w:rsid w:val="00077E94"/>
    <w:rsid w:val="00094132"/>
    <w:rsid w:val="00095506"/>
    <w:rsid w:val="000A16EC"/>
    <w:rsid w:val="000A2E80"/>
    <w:rsid w:val="000B37DD"/>
    <w:rsid w:val="000B4AFE"/>
    <w:rsid w:val="000C089A"/>
    <w:rsid w:val="000C0F48"/>
    <w:rsid w:val="000C33B5"/>
    <w:rsid w:val="000C3E6A"/>
    <w:rsid w:val="000E5195"/>
    <w:rsid w:val="000F2B93"/>
    <w:rsid w:val="000F32BB"/>
    <w:rsid w:val="000F53A5"/>
    <w:rsid w:val="000F6A42"/>
    <w:rsid w:val="0010459F"/>
    <w:rsid w:val="00104A20"/>
    <w:rsid w:val="00107F00"/>
    <w:rsid w:val="00136C23"/>
    <w:rsid w:val="00144B5C"/>
    <w:rsid w:val="001766F6"/>
    <w:rsid w:val="001801D4"/>
    <w:rsid w:val="001829EC"/>
    <w:rsid w:val="001837D4"/>
    <w:rsid w:val="00183E17"/>
    <w:rsid w:val="001D24FB"/>
    <w:rsid w:val="001F0BB3"/>
    <w:rsid w:val="001F4FF9"/>
    <w:rsid w:val="0020261F"/>
    <w:rsid w:val="0022015F"/>
    <w:rsid w:val="00222246"/>
    <w:rsid w:val="002265AE"/>
    <w:rsid w:val="00237EDE"/>
    <w:rsid w:val="002557B9"/>
    <w:rsid w:val="00261623"/>
    <w:rsid w:val="00261A1C"/>
    <w:rsid w:val="00261D62"/>
    <w:rsid w:val="002661CE"/>
    <w:rsid w:val="002824FC"/>
    <w:rsid w:val="00287874"/>
    <w:rsid w:val="00292681"/>
    <w:rsid w:val="00296453"/>
    <w:rsid w:val="002A000F"/>
    <w:rsid w:val="002A2C8B"/>
    <w:rsid w:val="002B3B1C"/>
    <w:rsid w:val="002C0F1B"/>
    <w:rsid w:val="002D2328"/>
    <w:rsid w:val="002D4306"/>
    <w:rsid w:val="002D547E"/>
    <w:rsid w:val="002E04B1"/>
    <w:rsid w:val="002E23BF"/>
    <w:rsid w:val="002E3450"/>
    <w:rsid w:val="002E7FEA"/>
    <w:rsid w:val="002F6269"/>
    <w:rsid w:val="003071BA"/>
    <w:rsid w:val="00312161"/>
    <w:rsid w:val="00315D76"/>
    <w:rsid w:val="0031769A"/>
    <w:rsid w:val="003225C1"/>
    <w:rsid w:val="00323673"/>
    <w:rsid w:val="003242A6"/>
    <w:rsid w:val="00337331"/>
    <w:rsid w:val="00352174"/>
    <w:rsid w:val="003648FF"/>
    <w:rsid w:val="00367B51"/>
    <w:rsid w:val="003709F1"/>
    <w:rsid w:val="003734F1"/>
    <w:rsid w:val="003842FB"/>
    <w:rsid w:val="00384A34"/>
    <w:rsid w:val="003852A5"/>
    <w:rsid w:val="00392A08"/>
    <w:rsid w:val="00393CDF"/>
    <w:rsid w:val="0039422C"/>
    <w:rsid w:val="00395C3B"/>
    <w:rsid w:val="00395D1B"/>
    <w:rsid w:val="003A0C9A"/>
    <w:rsid w:val="003A12DC"/>
    <w:rsid w:val="003B0972"/>
    <w:rsid w:val="003B2442"/>
    <w:rsid w:val="003C7255"/>
    <w:rsid w:val="003D15AA"/>
    <w:rsid w:val="003D7C34"/>
    <w:rsid w:val="003E1583"/>
    <w:rsid w:val="003E3833"/>
    <w:rsid w:val="003E63F2"/>
    <w:rsid w:val="003E7E29"/>
    <w:rsid w:val="00411825"/>
    <w:rsid w:val="004169DF"/>
    <w:rsid w:val="00420F2F"/>
    <w:rsid w:val="00423214"/>
    <w:rsid w:val="00425E81"/>
    <w:rsid w:val="004356CB"/>
    <w:rsid w:val="00447D8E"/>
    <w:rsid w:val="004567A8"/>
    <w:rsid w:val="004631A5"/>
    <w:rsid w:val="004634D4"/>
    <w:rsid w:val="0047458E"/>
    <w:rsid w:val="00475105"/>
    <w:rsid w:val="00486847"/>
    <w:rsid w:val="00490582"/>
    <w:rsid w:val="004959D9"/>
    <w:rsid w:val="00497A71"/>
    <w:rsid w:val="004A71D1"/>
    <w:rsid w:val="004B3C28"/>
    <w:rsid w:val="004D4EC4"/>
    <w:rsid w:val="004D7724"/>
    <w:rsid w:val="004F306D"/>
    <w:rsid w:val="005026B2"/>
    <w:rsid w:val="00511F11"/>
    <w:rsid w:val="00513041"/>
    <w:rsid w:val="00525971"/>
    <w:rsid w:val="005364EF"/>
    <w:rsid w:val="0053753C"/>
    <w:rsid w:val="0054093A"/>
    <w:rsid w:val="0054519F"/>
    <w:rsid w:val="00545520"/>
    <w:rsid w:val="00547BA4"/>
    <w:rsid w:val="00550CA7"/>
    <w:rsid w:val="00553033"/>
    <w:rsid w:val="00553C78"/>
    <w:rsid w:val="00572C77"/>
    <w:rsid w:val="0058078F"/>
    <w:rsid w:val="00581ABA"/>
    <w:rsid w:val="00582B03"/>
    <w:rsid w:val="005868DF"/>
    <w:rsid w:val="005870F7"/>
    <w:rsid w:val="005B5EF6"/>
    <w:rsid w:val="005B6493"/>
    <w:rsid w:val="005C331F"/>
    <w:rsid w:val="005C488B"/>
    <w:rsid w:val="005D0A59"/>
    <w:rsid w:val="005D4AE4"/>
    <w:rsid w:val="005E1BBA"/>
    <w:rsid w:val="005F0CC3"/>
    <w:rsid w:val="005F4AAE"/>
    <w:rsid w:val="00600503"/>
    <w:rsid w:val="00600A5E"/>
    <w:rsid w:val="0061654B"/>
    <w:rsid w:val="006205E9"/>
    <w:rsid w:val="006264A1"/>
    <w:rsid w:val="006450C6"/>
    <w:rsid w:val="00652387"/>
    <w:rsid w:val="00657C2D"/>
    <w:rsid w:val="00657D35"/>
    <w:rsid w:val="00661B82"/>
    <w:rsid w:val="0067062B"/>
    <w:rsid w:val="00673D41"/>
    <w:rsid w:val="00674EBA"/>
    <w:rsid w:val="006759AF"/>
    <w:rsid w:val="00675E0C"/>
    <w:rsid w:val="006778FE"/>
    <w:rsid w:val="006812EE"/>
    <w:rsid w:val="00683D88"/>
    <w:rsid w:val="006847F1"/>
    <w:rsid w:val="00691974"/>
    <w:rsid w:val="006A1E93"/>
    <w:rsid w:val="006A62DE"/>
    <w:rsid w:val="006B2BDD"/>
    <w:rsid w:val="006B378B"/>
    <w:rsid w:val="006B4DE9"/>
    <w:rsid w:val="006E5FF0"/>
    <w:rsid w:val="006E68AE"/>
    <w:rsid w:val="006E6A7A"/>
    <w:rsid w:val="006E6FCE"/>
    <w:rsid w:val="006E76B4"/>
    <w:rsid w:val="006F753B"/>
    <w:rsid w:val="007127D4"/>
    <w:rsid w:val="00715201"/>
    <w:rsid w:val="0072418C"/>
    <w:rsid w:val="00736406"/>
    <w:rsid w:val="00741B7E"/>
    <w:rsid w:val="007509A3"/>
    <w:rsid w:val="007556B8"/>
    <w:rsid w:val="00755924"/>
    <w:rsid w:val="00756DDE"/>
    <w:rsid w:val="00757E68"/>
    <w:rsid w:val="00760F81"/>
    <w:rsid w:val="0076172E"/>
    <w:rsid w:val="00771A68"/>
    <w:rsid w:val="00773FC3"/>
    <w:rsid w:val="007807EC"/>
    <w:rsid w:val="007832A7"/>
    <w:rsid w:val="0078360A"/>
    <w:rsid w:val="00784EAE"/>
    <w:rsid w:val="00793781"/>
    <w:rsid w:val="00796C0A"/>
    <w:rsid w:val="00796FC8"/>
    <w:rsid w:val="007A3336"/>
    <w:rsid w:val="007A7125"/>
    <w:rsid w:val="007C3BCA"/>
    <w:rsid w:val="007C5E00"/>
    <w:rsid w:val="007D5EEB"/>
    <w:rsid w:val="007D7D27"/>
    <w:rsid w:val="007E73C5"/>
    <w:rsid w:val="007F0617"/>
    <w:rsid w:val="007F6EB0"/>
    <w:rsid w:val="00801E42"/>
    <w:rsid w:val="0080258D"/>
    <w:rsid w:val="00822083"/>
    <w:rsid w:val="00826FB8"/>
    <w:rsid w:val="0083201C"/>
    <w:rsid w:val="00833D72"/>
    <w:rsid w:val="00846E5E"/>
    <w:rsid w:val="00861C99"/>
    <w:rsid w:val="008675A3"/>
    <w:rsid w:val="00876698"/>
    <w:rsid w:val="00876888"/>
    <w:rsid w:val="008933A9"/>
    <w:rsid w:val="00894F82"/>
    <w:rsid w:val="00895F70"/>
    <w:rsid w:val="008A01DB"/>
    <w:rsid w:val="008A30A8"/>
    <w:rsid w:val="008A40A2"/>
    <w:rsid w:val="008A56AD"/>
    <w:rsid w:val="008B0712"/>
    <w:rsid w:val="008C3AEA"/>
    <w:rsid w:val="008E78DD"/>
    <w:rsid w:val="008F172B"/>
    <w:rsid w:val="008F2BFE"/>
    <w:rsid w:val="008F6EA3"/>
    <w:rsid w:val="00902074"/>
    <w:rsid w:val="00902FF8"/>
    <w:rsid w:val="00903868"/>
    <w:rsid w:val="00907607"/>
    <w:rsid w:val="00910B74"/>
    <w:rsid w:val="00931AD3"/>
    <w:rsid w:val="009370B4"/>
    <w:rsid w:val="00961CED"/>
    <w:rsid w:val="0096473F"/>
    <w:rsid w:val="00965F9B"/>
    <w:rsid w:val="00985A88"/>
    <w:rsid w:val="00993E57"/>
    <w:rsid w:val="009A0F53"/>
    <w:rsid w:val="009C66B6"/>
    <w:rsid w:val="009E16DB"/>
    <w:rsid w:val="00A00F57"/>
    <w:rsid w:val="00A06868"/>
    <w:rsid w:val="00A12221"/>
    <w:rsid w:val="00A13DE2"/>
    <w:rsid w:val="00A2222C"/>
    <w:rsid w:val="00A24F74"/>
    <w:rsid w:val="00A44C19"/>
    <w:rsid w:val="00A47B57"/>
    <w:rsid w:val="00A540D1"/>
    <w:rsid w:val="00A57D4E"/>
    <w:rsid w:val="00A71584"/>
    <w:rsid w:val="00A7180C"/>
    <w:rsid w:val="00A840AC"/>
    <w:rsid w:val="00A903D6"/>
    <w:rsid w:val="00A94482"/>
    <w:rsid w:val="00AA2AFB"/>
    <w:rsid w:val="00AA349C"/>
    <w:rsid w:val="00AB15A8"/>
    <w:rsid w:val="00AB5BC3"/>
    <w:rsid w:val="00AC2D3B"/>
    <w:rsid w:val="00AD0C05"/>
    <w:rsid w:val="00AD4F42"/>
    <w:rsid w:val="00AE11F8"/>
    <w:rsid w:val="00AE574D"/>
    <w:rsid w:val="00AF1476"/>
    <w:rsid w:val="00AF1C06"/>
    <w:rsid w:val="00AF1E62"/>
    <w:rsid w:val="00AF35BB"/>
    <w:rsid w:val="00AF73E8"/>
    <w:rsid w:val="00B0132A"/>
    <w:rsid w:val="00B0403B"/>
    <w:rsid w:val="00B11A6F"/>
    <w:rsid w:val="00B14FC4"/>
    <w:rsid w:val="00B24042"/>
    <w:rsid w:val="00B24777"/>
    <w:rsid w:val="00B32D52"/>
    <w:rsid w:val="00B33E66"/>
    <w:rsid w:val="00B43D56"/>
    <w:rsid w:val="00B50D60"/>
    <w:rsid w:val="00B51C4D"/>
    <w:rsid w:val="00B51C52"/>
    <w:rsid w:val="00B6405D"/>
    <w:rsid w:val="00B73B84"/>
    <w:rsid w:val="00B758B8"/>
    <w:rsid w:val="00B81C94"/>
    <w:rsid w:val="00B84592"/>
    <w:rsid w:val="00B84893"/>
    <w:rsid w:val="00B907B7"/>
    <w:rsid w:val="00B924FC"/>
    <w:rsid w:val="00BA3BD3"/>
    <w:rsid w:val="00BA63E2"/>
    <w:rsid w:val="00BA769E"/>
    <w:rsid w:val="00BB74E2"/>
    <w:rsid w:val="00BC301A"/>
    <w:rsid w:val="00BC40EA"/>
    <w:rsid w:val="00BC4F53"/>
    <w:rsid w:val="00BD4663"/>
    <w:rsid w:val="00BE0D8A"/>
    <w:rsid w:val="00BE1656"/>
    <w:rsid w:val="00BE4833"/>
    <w:rsid w:val="00BE6EB2"/>
    <w:rsid w:val="00BF1957"/>
    <w:rsid w:val="00BF7536"/>
    <w:rsid w:val="00C04640"/>
    <w:rsid w:val="00C05BBC"/>
    <w:rsid w:val="00C07B56"/>
    <w:rsid w:val="00C11062"/>
    <w:rsid w:val="00C11F68"/>
    <w:rsid w:val="00C17B7C"/>
    <w:rsid w:val="00C25F9D"/>
    <w:rsid w:val="00C3627F"/>
    <w:rsid w:val="00C40745"/>
    <w:rsid w:val="00C46220"/>
    <w:rsid w:val="00C76167"/>
    <w:rsid w:val="00C779CD"/>
    <w:rsid w:val="00C945C5"/>
    <w:rsid w:val="00C95977"/>
    <w:rsid w:val="00C96432"/>
    <w:rsid w:val="00CA1109"/>
    <w:rsid w:val="00CA4ACD"/>
    <w:rsid w:val="00CC1373"/>
    <w:rsid w:val="00CC4B87"/>
    <w:rsid w:val="00CC7041"/>
    <w:rsid w:val="00CD23A9"/>
    <w:rsid w:val="00CD6DFF"/>
    <w:rsid w:val="00CE480C"/>
    <w:rsid w:val="00CE501D"/>
    <w:rsid w:val="00CF0F8E"/>
    <w:rsid w:val="00CF5F7D"/>
    <w:rsid w:val="00CF63D9"/>
    <w:rsid w:val="00D0073B"/>
    <w:rsid w:val="00D0359D"/>
    <w:rsid w:val="00D1132F"/>
    <w:rsid w:val="00D172F2"/>
    <w:rsid w:val="00D2246F"/>
    <w:rsid w:val="00D232E8"/>
    <w:rsid w:val="00D3595B"/>
    <w:rsid w:val="00D40254"/>
    <w:rsid w:val="00D45E91"/>
    <w:rsid w:val="00D50E70"/>
    <w:rsid w:val="00D6108B"/>
    <w:rsid w:val="00D715D7"/>
    <w:rsid w:val="00D81A98"/>
    <w:rsid w:val="00D82DDA"/>
    <w:rsid w:val="00D8413F"/>
    <w:rsid w:val="00DB0F75"/>
    <w:rsid w:val="00DB1F3E"/>
    <w:rsid w:val="00DB2AFE"/>
    <w:rsid w:val="00DB405E"/>
    <w:rsid w:val="00DB4500"/>
    <w:rsid w:val="00DC7BAB"/>
    <w:rsid w:val="00DD2DB2"/>
    <w:rsid w:val="00DD5B71"/>
    <w:rsid w:val="00DD62E2"/>
    <w:rsid w:val="00DE144E"/>
    <w:rsid w:val="00DE4AAC"/>
    <w:rsid w:val="00DE7247"/>
    <w:rsid w:val="00DE74C9"/>
    <w:rsid w:val="00DF2558"/>
    <w:rsid w:val="00DF564D"/>
    <w:rsid w:val="00E03380"/>
    <w:rsid w:val="00E03FE5"/>
    <w:rsid w:val="00E11366"/>
    <w:rsid w:val="00E16710"/>
    <w:rsid w:val="00E223B2"/>
    <w:rsid w:val="00E36BCD"/>
    <w:rsid w:val="00E376B0"/>
    <w:rsid w:val="00E424DC"/>
    <w:rsid w:val="00E579F5"/>
    <w:rsid w:val="00E60B90"/>
    <w:rsid w:val="00E64841"/>
    <w:rsid w:val="00E666CA"/>
    <w:rsid w:val="00E73320"/>
    <w:rsid w:val="00E74CD8"/>
    <w:rsid w:val="00E772C5"/>
    <w:rsid w:val="00E84133"/>
    <w:rsid w:val="00E8760C"/>
    <w:rsid w:val="00E94F0A"/>
    <w:rsid w:val="00E96367"/>
    <w:rsid w:val="00EA00C1"/>
    <w:rsid w:val="00EA763E"/>
    <w:rsid w:val="00ED601D"/>
    <w:rsid w:val="00ED68C0"/>
    <w:rsid w:val="00ED6E2D"/>
    <w:rsid w:val="00EE2D05"/>
    <w:rsid w:val="00EF72E6"/>
    <w:rsid w:val="00F02556"/>
    <w:rsid w:val="00F031FE"/>
    <w:rsid w:val="00F05DF5"/>
    <w:rsid w:val="00F16FB0"/>
    <w:rsid w:val="00F34496"/>
    <w:rsid w:val="00F36176"/>
    <w:rsid w:val="00F36D30"/>
    <w:rsid w:val="00F40279"/>
    <w:rsid w:val="00F421DC"/>
    <w:rsid w:val="00F440DE"/>
    <w:rsid w:val="00F4438D"/>
    <w:rsid w:val="00F44F9C"/>
    <w:rsid w:val="00F450EA"/>
    <w:rsid w:val="00F46AC7"/>
    <w:rsid w:val="00F47D72"/>
    <w:rsid w:val="00F548FB"/>
    <w:rsid w:val="00F63865"/>
    <w:rsid w:val="00F751C4"/>
    <w:rsid w:val="00F77EA7"/>
    <w:rsid w:val="00F848CA"/>
    <w:rsid w:val="00F8634A"/>
    <w:rsid w:val="00FA6996"/>
    <w:rsid w:val="00FD4DC5"/>
    <w:rsid w:val="00FD6E6B"/>
    <w:rsid w:val="00FD7321"/>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C9A03D4"/>
  <w15:chartTrackingRefBased/>
  <w15:docId w15:val="{BB098896-9621-4A05-B64E-DB09C73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paragraph" w:customStyle="1" w:styleId="Blocktext1">
    <w:name w:val="Blocktext1"/>
    <w:basedOn w:val="Standard"/>
    <w:rsid w:val="004356CB"/>
    <w:pPr>
      <w:ind w:left="284" w:right="226"/>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9038">
      <w:bodyDiv w:val="1"/>
      <w:marLeft w:val="0"/>
      <w:marRight w:val="0"/>
      <w:marTop w:val="0"/>
      <w:marBottom w:val="0"/>
      <w:divBdr>
        <w:top w:val="none" w:sz="0" w:space="0" w:color="auto"/>
        <w:left w:val="none" w:sz="0" w:space="0" w:color="auto"/>
        <w:bottom w:val="none" w:sz="0" w:space="0" w:color="auto"/>
        <w:right w:val="none" w:sz="0" w:space="0" w:color="auto"/>
      </w:divBdr>
      <w:divsChild>
        <w:div w:id="578977017">
          <w:marLeft w:val="0"/>
          <w:marRight w:val="0"/>
          <w:marTop w:val="0"/>
          <w:marBottom w:val="0"/>
          <w:divBdr>
            <w:top w:val="none" w:sz="0" w:space="0" w:color="auto"/>
            <w:left w:val="none" w:sz="0" w:space="0" w:color="auto"/>
            <w:bottom w:val="none" w:sz="0" w:space="0" w:color="auto"/>
            <w:right w:val="none" w:sz="0" w:space="0" w:color="auto"/>
          </w:divBdr>
        </w:div>
      </w:divsChild>
    </w:div>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341">
      <w:bodyDiv w:val="1"/>
      <w:marLeft w:val="0"/>
      <w:marRight w:val="0"/>
      <w:marTop w:val="0"/>
      <w:marBottom w:val="0"/>
      <w:divBdr>
        <w:top w:val="none" w:sz="0" w:space="0" w:color="auto"/>
        <w:left w:val="none" w:sz="0" w:space="0" w:color="auto"/>
        <w:bottom w:val="none" w:sz="0" w:space="0" w:color="auto"/>
        <w:right w:val="none" w:sz="0" w:space="0" w:color="auto"/>
      </w:divBdr>
      <w:divsChild>
        <w:div w:id="1849100646">
          <w:marLeft w:val="0"/>
          <w:marRight w:val="0"/>
          <w:marTop w:val="0"/>
          <w:marBottom w:val="0"/>
          <w:divBdr>
            <w:top w:val="none" w:sz="0" w:space="0" w:color="auto"/>
            <w:left w:val="none" w:sz="0" w:space="0" w:color="auto"/>
            <w:bottom w:val="none" w:sz="0" w:space="0" w:color="auto"/>
            <w:right w:val="none" w:sz="0" w:space="0" w:color="auto"/>
          </w:divBdr>
        </w:div>
      </w:divsChild>
    </w:div>
    <w:div w:id="701979979">
      <w:bodyDiv w:val="1"/>
      <w:marLeft w:val="0"/>
      <w:marRight w:val="0"/>
      <w:marTop w:val="0"/>
      <w:marBottom w:val="0"/>
      <w:divBdr>
        <w:top w:val="none" w:sz="0" w:space="0" w:color="auto"/>
        <w:left w:val="none" w:sz="0" w:space="0" w:color="auto"/>
        <w:bottom w:val="none" w:sz="0" w:space="0" w:color="auto"/>
        <w:right w:val="none" w:sz="0" w:space="0" w:color="auto"/>
      </w:divBdr>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783767026">
      <w:bodyDiv w:val="1"/>
      <w:marLeft w:val="0"/>
      <w:marRight w:val="0"/>
      <w:marTop w:val="0"/>
      <w:marBottom w:val="0"/>
      <w:divBdr>
        <w:top w:val="none" w:sz="0" w:space="0" w:color="auto"/>
        <w:left w:val="none" w:sz="0" w:space="0" w:color="auto"/>
        <w:bottom w:val="none" w:sz="0" w:space="0" w:color="auto"/>
        <w:right w:val="none" w:sz="0" w:space="0" w:color="auto"/>
      </w:divBdr>
    </w:div>
    <w:div w:id="83592481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8533">
      <w:bodyDiv w:val="1"/>
      <w:marLeft w:val="0"/>
      <w:marRight w:val="0"/>
      <w:marTop w:val="0"/>
      <w:marBottom w:val="0"/>
      <w:divBdr>
        <w:top w:val="none" w:sz="0" w:space="0" w:color="auto"/>
        <w:left w:val="none" w:sz="0" w:space="0" w:color="auto"/>
        <w:bottom w:val="none" w:sz="0" w:space="0" w:color="auto"/>
        <w:right w:val="none" w:sz="0" w:space="0" w:color="auto"/>
      </w:divBdr>
      <w:divsChild>
        <w:div w:id="667825605">
          <w:marLeft w:val="0"/>
          <w:marRight w:val="0"/>
          <w:marTop w:val="0"/>
          <w:marBottom w:val="0"/>
          <w:divBdr>
            <w:top w:val="none" w:sz="0" w:space="0" w:color="auto"/>
            <w:left w:val="none" w:sz="0" w:space="0" w:color="auto"/>
            <w:bottom w:val="none" w:sz="0" w:space="0" w:color="auto"/>
            <w:right w:val="none" w:sz="0" w:space="0" w:color="auto"/>
          </w:divBdr>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860852349">
      <w:bodyDiv w:val="1"/>
      <w:marLeft w:val="0"/>
      <w:marRight w:val="0"/>
      <w:marTop w:val="0"/>
      <w:marBottom w:val="0"/>
      <w:divBdr>
        <w:top w:val="none" w:sz="0" w:space="0" w:color="auto"/>
        <w:left w:val="none" w:sz="0" w:space="0" w:color="auto"/>
        <w:bottom w:val="none" w:sz="0" w:space="0" w:color="auto"/>
        <w:right w:val="none" w:sz="0" w:space="0" w:color="auto"/>
      </w:divBdr>
    </w:div>
    <w:div w:id="1947885485">
      <w:bodyDiv w:val="1"/>
      <w:marLeft w:val="0"/>
      <w:marRight w:val="0"/>
      <w:marTop w:val="0"/>
      <w:marBottom w:val="0"/>
      <w:divBdr>
        <w:top w:val="none" w:sz="0" w:space="0" w:color="auto"/>
        <w:left w:val="none" w:sz="0" w:space="0" w:color="auto"/>
        <w:bottom w:val="none" w:sz="0" w:space="0" w:color="auto"/>
        <w:right w:val="none" w:sz="0" w:space="0" w:color="auto"/>
      </w:divBdr>
    </w:div>
    <w:div w:id="1950090562">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2199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2465</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Kling, Lina</dc:creator>
  <cp:keywords/>
  <cp:lastModifiedBy>Köken, Christiane</cp:lastModifiedBy>
  <cp:revision>11</cp:revision>
  <cp:lastPrinted>2022-09-19T12:19:00Z</cp:lastPrinted>
  <dcterms:created xsi:type="dcterms:W3CDTF">2022-09-07T11:29:00Z</dcterms:created>
  <dcterms:modified xsi:type="dcterms:W3CDTF">2022-10-18T09:01:00Z</dcterms:modified>
</cp:coreProperties>
</file>